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193" w:rsidRDefault="00E42193" w:rsidP="00E42193">
      <w:pPr>
        <w:jc w:val="center"/>
        <w:rPr>
          <w:rFonts w:cstheme="minorHAnsi"/>
          <w:b/>
          <w:sz w:val="24"/>
          <w:szCs w:val="24"/>
        </w:rPr>
      </w:pPr>
    </w:p>
    <w:p w:rsidR="00E42193" w:rsidRPr="00D53AD1" w:rsidRDefault="00E42193" w:rsidP="00E42193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E42193" w:rsidRDefault="00E42193" w:rsidP="00E42193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es-MX"/>
        </w:rPr>
        <w:drawing>
          <wp:inline distT="0" distB="0" distL="0" distR="0" wp14:anchorId="051BA6FF" wp14:editId="10E22AC7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42193" w:rsidRDefault="00E42193" w:rsidP="00E42193"/>
    <w:p w:rsidR="00E42193" w:rsidRDefault="00E42193" w:rsidP="00E42193"/>
    <w:p w:rsidR="00DD6077" w:rsidRDefault="00E42193">
      <w:r>
        <w:rPr>
          <w:noProof/>
          <w:lang w:eastAsia="es-MX"/>
        </w:rPr>
        <w:drawing>
          <wp:inline distT="0" distB="0" distL="0" distR="0" wp14:anchorId="1BE209B2" wp14:editId="499AAE81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DD60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193"/>
    <w:rsid w:val="009D0D5A"/>
    <w:rsid w:val="00D92A9A"/>
    <w:rsid w:val="00E4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FC1D1F-49DF-4D9A-A860-A77927DD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1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Mayo - 31 de Mayo del 2019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Hoja1!$A$2:$A$31</c:f>
              <c:strCache>
                <c:ptCount val="30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de rezago impuesto predial</c:v>
                </c:pt>
                <c:pt idx="5">
                  <c:v>Recargos impuesto predial</c:v>
                </c:pt>
                <c:pt idx="6">
                  <c:v>Multas impuestas p/predial y catastro</c:v>
                </c:pt>
                <c:pt idx="7">
                  <c:v>Certificado de no adeudo p/predial</c:v>
                </c:pt>
                <c:pt idx="8">
                  <c:v>Diferencia predial rezago urbano</c:v>
                </c:pt>
                <c:pt idx="9">
                  <c:v>Gasto de cobranza imp. Predial</c:v>
                </c:pt>
                <c:pt idx="10">
                  <c:v>Recargos rezago impuesto predial</c:v>
                </c:pt>
                <c:pt idx="11">
                  <c:v>Transmisiones patrimoniales urbanas</c:v>
                </c:pt>
                <c:pt idx="12">
                  <c:v>Formas para traslado de dominio</c:v>
                </c:pt>
                <c:pt idx="13">
                  <c:v>Otras transmisiones</c:v>
                </c:pt>
                <c:pt idx="14">
                  <c:v>Recargos trasmisiones urbanas</c:v>
                </c:pt>
                <c:pt idx="15">
                  <c:v>Multa de transmisiones</c:v>
                </c:pt>
                <c:pt idx="16">
                  <c:v>Otros aprovechamientos</c:v>
                </c:pt>
                <c:pt idx="17">
                  <c:v>Certificado de planos</c:v>
                </c:pt>
                <c:pt idx="18">
                  <c:v>Certificaciones simples de catastro</c:v>
                </c:pt>
                <c:pt idx="19">
                  <c:v>Certificado de no inscripción de propiedad</c:v>
                </c:pt>
                <c:pt idx="20">
                  <c:v>Certificado de inscripción de propiedad</c:v>
                </c:pt>
                <c:pt idx="21">
                  <c:v>Certificados catastrales con historial</c:v>
                </c:pt>
                <c:pt idx="22">
                  <c:v>Copias de planos por cada lamina</c:v>
                </c:pt>
                <c:pt idx="23">
                  <c:v>Copias simples</c:v>
                </c:pt>
                <c:pt idx="24">
                  <c:v>Número Oficial</c:v>
                </c:pt>
                <c:pt idx="25">
                  <c:v>Dictamen de valores</c:v>
                </c:pt>
                <c:pt idx="26">
                  <c:v>Exp. De deslindes catastrales</c:v>
                </c:pt>
                <c:pt idx="27">
                  <c:v>Aprobación de subdivisión de media</c:v>
                </c:pt>
                <c:pt idx="28">
                  <c:v>Autorización de avaluó catastral</c:v>
                </c:pt>
                <c:pt idx="29">
                  <c:v>Copia certificada</c:v>
                </c:pt>
              </c:strCache>
            </c:strRef>
          </c:cat>
          <c:val>
            <c:numRef>
              <c:f>Hoja1!$B$2:$B$31</c:f>
              <c:numCache>
                <c:formatCode>"$"#,##0.00_);[Red]\("$"#,##0.00\)</c:formatCode>
                <c:ptCount val="30"/>
                <c:pt idx="0">
                  <c:v>91869.9</c:v>
                </c:pt>
                <c:pt idx="1">
                  <c:v>122829.99</c:v>
                </c:pt>
                <c:pt idx="2">
                  <c:v>4505.43</c:v>
                </c:pt>
                <c:pt idx="3">
                  <c:v>2888.04</c:v>
                </c:pt>
                <c:pt idx="4">
                  <c:v>37226.97</c:v>
                </c:pt>
                <c:pt idx="5">
                  <c:v>820.76</c:v>
                </c:pt>
                <c:pt idx="6">
                  <c:v>7856.3</c:v>
                </c:pt>
                <c:pt idx="7">
                  <c:v>2450</c:v>
                </c:pt>
                <c:pt idx="8">
                  <c:v>217.72</c:v>
                </c:pt>
                <c:pt idx="9">
                  <c:v>5213.99</c:v>
                </c:pt>
                <c:pt idx="10">
                  <c:v>534.87</c:v>
                </c:pt>
                <c:pt idx="11">
                  <c:v>35326.480000000003</c:v>
                </c:pt>
                <c:pt idx="12">
                  <c:v>155</c:v>
                </c:pt>
                <c:pt idx="13">
                  <c:v>112044.48</c:v>
                </c:pt>
                <c:pt idx="14">
                  <c:v>795.85</c:v>
                </c:pt>
                <c:pt idx="15">
                  <c:v>827.77</c:v>
                </c:pt>
                <c:pt idx="16">
                  <c:v>1000</c:v>
                </c:pt>
                <c:pt idx="17">
                  <c:v>104.99</c:v>
                </c:pt>
                <c:pt idx="18">
                  <c:v>47</c:v>
                </c:pt>
                <c:pt idx="19">
                  <c:v>244</c:v>
                </c:pt>
                <c:pt idx="20">
                  <c:v>203</c:v>
                </c:pt>
                <c:pt idx="21">
                  <c:v>3757.95</c:v>
                </c:pt>
                <c:pt idx="22">
                  <c:v>154.99</c:v>
                </c:pt>
                <c:pt idx="23">
                  <c:v>1175</c:v>
                </c:pt>
                <c:pt idx="24">
                  <c:v>450</c:v>
                </c:pt>
                <c:pt idx="25">
                  <c:v>3088.76</c:v>
                </c:pt>
                <c:pt idx="26">
                  <c:v>1296</c:v>
                </c:pt>
                <c:pt idx="27">
                  <c:v>2375</c:v>
                </c:pt>
                <c:pt idx="28">
                  <c:v>4250</c:v>
                </c:pt>
                <c:pt idx="29">
                  <c:v>551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1E-4C47-82B1-AD69244C26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89911455"/>
        <c:axId val="2089912703"/>
      </c:barChart>
      <c:catAx>
        <c:axId val="208991145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89912703"/>
        <c:crosses val="autoZero"/>
        <c:auto val="1"/>
        <c:lblAlgn val="ctr"/>
        <c:lblOffset val="100"/>
        <c:noMultiLvlLbl val="0"/>
      </c:catAx>
      <c:valAx>
        <c:axId val="20899127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8991145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s-MX" sz="1800">
                <a:effectLst/>
              </a:rPr>
              <a:t>RELACION DE ACTIVIDADES EN EL DEPARTAMENTO DE </a:t>
            </a:r>
            <a:r>
              <a:rPr lang="es-MX" sz="1800" b="1">
                <a:effectLst/>
              </a:rPr>
              <a:t>“CATASTRO” </a:t>
            </a:r>
            <a:r>
              <a:rPr lang="es-MX" sz="1800">
                <a:effectLst/>
              </a:rPr>
              <a:t>01 de Mayo - 31 de Mayo de 2019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Hoja1!$A$2:$A$13</c:f>
              <c:strCache>
                <c:ptCount val="12"/>
                <c:pt idx="0">
                  <c:v>Certificado catastral</c:v>
                </c:pt>
                <c:pt idx="1">
                  <c:v>Certificado de no inscripción de propiedad</c:v>
                </c:pt>
                <c:pt idx="2">
                  <c:v>Certificado de inscripción de propiedad</c:v>
                </c:pt>
                <c:pt idx="3">
                  <c:v>Número oficial</c:v>
                </c:pt>
                <c:pt idx="4">
                  <c:v>Deslinde catastral</c:v>
                </c:pt>
                <c:pt idx="5">
                  <c:v>Asesoría e información al público en general</c:v>
                </c:pt>
                <c:pt idx="6">
                  <c:v>Transmisiones de dominio</c:v>
                </c:pt>
                <c:pt idx="7">
                  <c:v>Mediciones de campo</c:v>
                </c:pt>
                <c:pt idx="8">
                  <c:v>Digitalización de libros</c:v>
                </c:pt>
                <c:pt idx="9">
                  <c:v>Armado de libros</c:v>
                </c:pt>
                <c:pt idx="10">
                  <c:v>Actualización de la cartografía</c:v>
                </c:pt>
                <c:pt idx="11">
                  <c:v>Autorización de avalúos</c:v>
                </c:pt>
              </c:strCache>
            </c:strRef>
          </c:cat>
          <c:val>
            <c:numRef>
              <c:f>Hoja1!$B$2:$B$13</c:f>
              <c:numCache>
                <c:formatCode>General</c:formatCode>
                <c:ptCount val="12"/>
                <c:pt idx="0">
                  <c:v>18</c:v>
                </c:pt>
                <c:pt idx="1">
                  <c:v>2</c:v>
                </c:pt>
                <c:pt idx="2">
                  <c:v>2</c:v>
                </c:pt>
                <c:pt idx="3">
                  <c:v>18</c:v>
                </c:pt>
                <c:pt idx="4">
                  <c:v>6</c:v>
                </c:pt>
                <c:pt idx="5">
                  <c:v>220</c:v>
                </c:pt>
                <c:pt idx="6">
                  <c:v>70</c:v>
                </c:pt>
                <c:pt idx="7">
                  <c:v>22</c:v>
                </c:pt>
                <c:pt idx="8">
                  <c:v>3</c:v>
                </c:pt>
                <c:pt idx="9">
                  <c:v>3</c:v>
                </c:pt>
                <c:pt idx="10">
                  <c:v>0</c:v>
                </c:pt>
                <c:pt idx="11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7C-4ADF-B963-AB91A94368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6810655"/>
        <c:axId val="76812319"/>
      </c:barChart>
      <c:catAx>
        <c:axId val="7681065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812319"/>
        <c:crosses val="autoZero"/>
        <c:auto val="1"/>
        <c:lblAlgn val="ctr"/>
        <c:lblOffset val="100"/>
        <c:noMultiLvlLbl val="0"/>
      </c:catAx>
      <c:valAx>
        <c:axId val="7681231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81065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2019-07-29T19:58:00Z</dcterms:created>
  <dcterms:modified xsi:type="dcterms:W3CDTF">2019-07-29T19:58:00Z</dcterms:modified>
</cp:coreProperties>
</file>